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08" w:rsidRDefault="00E21008" w:rsidP="00E2100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ПРИЛОЖЕНИЕ № </w:t>
      </w:r>
      <w:r w:rsidR="00851712">
        <w:rPr>
          <w:rFonts w:ascii="Times New Roman" w:hAnsi="Times New Roman" w:cs="Times New Roman"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AC03F8" w:rsidRDefault="00DE729B" w:rsidP="00E2100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към Решение № 201-МИ/14</w:t>
      </w:r>
      <w:r w:rsidR="00E21008">
        <w:rPr>
          <w:rFonts w:ascii="Times New Roman" w:hAnsi="Times New Roman" w:cs="Times New Roman"/>
          <w:sz w:val="28"/>
          <w:szCs w:val="28"/>
          <w:lang w:val="bg-BG"/>
        </w:rPr>
        <w:t>.0</w:t>
      </w:r>
      <w:r>
        <w:rPr>
          <w:rFonts w:ascii="Times New Roman" w:hAnsi="Times New Roman" w:cs="Times New Roman"/>
          <w:sz w:val="28"/>
          <w:szCs w:val="28"/>
          <w:lang w:val="bg-BG"/>
        </w:rPr>
        <w:t>8.2020</w:t>
      </w:r>
      <w:r w:rsidR="00E21008">
        <w:rPr>
          <w:rFonts w:ascii="Times New Roman" w:hAnsi="Times New Roman" w:cs="Times New Roman"/>
          <w:sz w:val="28"/>
          <w:szCs w:val="28"/>
          <w:lang w:val="bg-BG"/>
        </w:rPr>
        <w:t xml:space="preserve"> г. на ОИК </w:t>
      </w:r>
      <w:r w:rsidR="00DB2CAE"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="00E21008">
        <w:rPr>
          <w:rFonts w:ascii="Times New Roman" w:hAnsi="Times New Roman" w:cs="Times New Roman"/>
          <w:sz w:val="28"/>
          <w:szCs w:val="28"/>
          <w:lang w:val="bg-BG"/>
        </w:rPr>
        <w:t>Дулово</w:t>
      </w:r>
    </w:p>
    <w:p w:rsidR="00DB2CAE" w:rsidRPr="00290161" w:rsidRDefault="00F142F5" w:rsidP="002901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Указания относно регистрация на кандидатите в изборите за общински съветници и за кметове на </w:t>
      </w:r>
      <w:r w:rsidR="00290161" w:rsidRPr="00290161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27 септември 2020</w:t>
      </w:r>
    </w:p>
    <w:p w:rsidR="00F142F5" w:rsidRPr="00F142F5" w:rsidRDefault="00F142F5" w:rsidP="00F142F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lang w:val="bg-BG"/>
        </w:rPr>
        <w:t>Право да бъдат избирани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1. Право да бъдат избирани за кметове имат българските граждани, които са навършили 18 години към изборния ден включително, не са поставени под запрещение, не изтърпяват наказание лишаване от свобода и са живели най-малко през последните 6 месеца (към дата 26 април 2019 г. включително): за общинс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ки съветници, кметове на общини,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за кметове на кметства </w:t>
      </w:r>
      <w:r>
        <w:rPr>
          <w:rFonts w:ascii="Times New Roman" w:hAnsi="Times New Roman" w:cs="Times New Roman"/>
          <w:sz w:val="28"/>
          <w:szCs w:val="28"/>
          <w:lang w:val="bg-BG"/>
        </w:rPr>
        <w:t>- в съответното населено място.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2. Право да бъде избиран за общински съветник има и всеки гражданин на държава – членка на Европейския съюз, който не е български гражданин, навършил е 18 г. към изборния ден включително, не е поставен под запрещение, не изтърпява наказание лишаване от свобода, има статут на продължително или постоянно пребиваващ в Република България, живял е най-малко през последните 6 месеца в съответното населено място (към дата 26 април 2019 г. включително) и не е лишен от правото да бъде избиран в държавата членка, на </w:t>
      </w:r>
      <w:r>
        <w:rPr>
          <w:rFonts w:ascii="Times New Roman" w:hAnsi="Times New Roman" w:cs="Times New Roman"/>
          <w:sz w:val="28"/>
          <w:szCs w:val="28"/>
          <w:lang w:val="bg-BG"/>
        </w:rPr>
        <w:t>която е гражданин.</w:t>
      </w:r>
    </w:p>
    <w:p w:rsidR="00F142F5" w:rsidRPr="00F142F5" w:rsidRDefault="00F142F5" w:rsidP="00F142F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lang w:val="bg-BG"/>
        </w:rPr>
        <w:t>Издигане на кандидати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3. Кандидати могат да издигат партии, коалиции, местни коалиции и инициативни комитети, регистрирани за участие в из</w:t>
      </w:r>
      <w:r w:rsidR="00DE729B">
        <w:rPr>
          <w:rFonts w:ascii="Times New Roman" w:hAnsi="Times New Roman" w:cs="Times New Roman"/>
          <w:sz w:val="28"/>
          <w:szCs w:val="28"/>
          <w:lang w:val="bg-BG"/>
        </w:rPr>
        <w:t>борите на 27 септември 2020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 г. в </w:t>
      </w:r>
      <w:r>
        <w:rPr>
          <w:rFonts w:ascii="Times New Roman" w:hAnsi="Times New Roman" w:cs="Times New Roman"/>
          <w:sz w:val="28"/>
          <w:szCs w:val="28"/>
          <w:lang w:val="bg-BG"/>
        </w:rPr>
        <w:t>Общинската избирателна комисия.</w:t>
      </w:r>
    </w:p>
    <w:p w:rsidR="00F142F5" w:rsidRPr="00F142F5" w:rsidRDefault="00F142F5" w:rsidP="00F142F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lang w:val="bg-BG"/>
        </w:rPr>
        <w:t>Кандидатски листи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4. Партиите, коалициите и местните коалиции подреждат кандидатите в кандидатски листи по едномандатни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и многомандатни изборни райони.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Кандидатите на партии и коалиции се вписват в регистъра на кандидатските листи и се регистрират с номера, под които са подредени в кандидатската листа. 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5. Инициативните комитети </w:t>
      </w:r>
      <w:r w:rsidR="00290161">
        <w:rPr>
          <w:rFonts w:ascii="Times New Roman" w:hAnsi="Times New Roman" w:cs="Times New Roman"/>
          <w:sz w:val="28"/>
          <w:szCs w:val="28"/>
          <w:lang w:val="bg-BG"/>
        </w:rPr>
        <w:t xml:space="preserve">издигат независими кандидати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>за кметове, като всеки кандидат кмет, образува с</w:t>
      </w:r>
      <w:r>
        <w:rPr>
          <w:rFonts w:ascii="Times New Roman" w:hAnsi="Times New Roman" w:cs="Times New Roman"/>
          <w:sz w:val="28"/>
          <w:szCs w:val="28"/>
          <w:lang w:val="bg-BG"/>
        </w:rPr>
        <w:t>амостоятелна кандидатска листа.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6. Партиите и коалициите не могат да регистрират като кандидати военнослужещи от въоръжените сили, служители от дипломатическата служба, служители от МВР, Държавна агенция „Разузнаване“, Националната служба за охрана и Държавната агенция „Технически операции“, както и държавни служители от Държавна агенция „Национална сигурност“, съдии, прокурори и следователи, както и други лица, на които със закон е забранено членство в политическа партия. Тези граждани може да участват в избо</w:t>
      </w:r>
      <w:r>
        <w:rPr>
          <w:rFonts w:ascii="Times New Roman" w:hAnsi="Times New Roman" w:cs="Times New Roman"/>
          <w:sz w:val="28"/>
          <w:szCs w:val="28"/>
          <w:lang w:val="bg-BG"/>
        </w:rPr>
        <w:t>рите като независими кандидати.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7. Независим кандидат не може да бъде включван в кандидатск</w:t>
      </w:r>
      <w:r>
        <w:rPr>
          <w:rFonts w:ascii="Times New Roman" w:hAnsi="Times New Roman" w:cs="Times New Roman"/>
          <w:sz w:val="28"/>
          <w:szCs w:val="28"/>
          <w:lang w:val="bg-BG"/>
        </w:rPr>
        <w:t>а листа на партия или коалиция.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8. Коалициите участват в изборите с обща кандидатска листа във всеки отделен едномандатен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многомандатен изборен район.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9. Партиите и коалициите, които участват в състава на местни коалиции за определен вид избор, не могат да регистрират самостоятелно свои кандидатски листи ил</w:t>
      </w:r>
      <w:r>
        <w:rPr>
          <w:rFonts w:ascii="Times New Roman" w:hAnsi="Times New Roman" w:cs="Times New Roman"/>
          <w:sz w:val="28"/>
          <w:szCs w:val="28"/>
          <w:lang w:val="bg-BG"/>
        </w:rPr>
        <w:t>и кандидати за същия вид избор.</w:t>
      </w:r>
    </w:p>
    <w:p w:rsidR="00F142F5" w:rsidRPr="00F142F5" w:rsidRDefault="00F142F5" w:rsidP="00F142F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lang w:val="bg-BG"/>
        </w:rPr>
        <w:t>Действителност на регистрацията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11. Кандидат за общински съветник може да бъде предложен за регистриране само от една партия, коалиция или инициативен комит</w:t>
      </w:r>
      <w:r>
        <w:rPr>
          <w:rFonts w:ascii="Times New Roman" w:hAnsi="Times New Roman" w:cs="Times New Roman"/>
          <w:sz w:val="28"/>
          <w:szCs w:val="28"/>
          <w:lang w:val="bg-BG"/>
        </w:rPr>
        <w:t>ет и само в един изборен район.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12. Кандидат за кмет може да бъде предложен за регистриране само от една партия, коалиция или инициативен комитет и само в един изборен район. Кандидат за кмет на община не може да бъде и кандидат за кмет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кметство или кмет на район.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13. Кандидат за кмет от инициативен комитет не може да бъде кандидат за общински съветник от партия или коалиция, а кандидат за общински съветник от инициативен комитет не може да бъде кандидат </w:t>
      </w:r>
      <w:r>
        <w:rPr>
          <w:rFonts w:ascii="Times New Roman" w:hAnsi="Times New Roman" w:cs="Times New Roman"/>
          <w:sz w:val="28"/>
          <w:szCs w:val="28"/>
          <w:lang w:val="bg-BG"/>
        </w:rPr>
        <w:t>за кмет от партия или коалиция.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>14. Кандидат за кмет от партия или коалиция може да бъде и кандидат за общински съветник само от същата партия или коалиция. В случай че бъде избран за кмет, той отпада от кандидатска</w:t>
      </w:r>
      <w:r>
        <w:rPr>
          <w:rFonts w:ascii="Times New Roman" w:hAnsi="Times New Roman" w:cs="Times New Roman"/>
          <w:sz w:val="28"/>
          <w:szCs w:val="28"/>
          <w:lang w:val="bg-BG"/>
        </w:rPr>
        <w:t>та листа за общински съветници.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15. Когато кандидат за общински съветник или кмет бъде регистриран от повече от една партия, коалиция или инициативен комитет или в повече от един изборен район, действителна </w:t>
      </w:r>
      <w:r>
        <w:rPr>
          <w:rFonts w:ascii="Times New Roman" w:hAnsi="Times New Roman" w:cs="Times New Roman"/>
          <w:sz w:val="28"/>
          <w:szCs w:val="28"/>
          <w:lang w:val="bg-BG"/>
        </w:rPr>
        <w:t>е първата по време регистрация.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16. Кандидатът не може да бъде наблюдател, застъпник, представител на партия/коалиция/ местна коалиция/инициативен комитет, член на избирателна комисия, анкетьор или пр</w:t>
      </w:r>
      <w:r>
        <w:rPr>
          <w:rFonts w:ascii="Times New Roman" w:hAnsi="Times New Roman" w:cs="Times New Roman"/>
          <w:sz w:val="28"/>
          <w:szCs w:val="28"/>
          <w:lang w:val="bg-BG"/>
        </w:rPr>
        <w:t>идружител в съответната община.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17. Централната избирателна комисия констатира и обявява за недействителни регистрациите, извършени в нарушение на т. 11, 12, 13 и 14. Решението се обявява незабавно и може да се обжалва пред Върховния админис</w:t>
      </w:r>
      <w:r>
        <w:rPr>
          <w:rFonts w:ascii="Times New Roman" w:hAnsi="Times New Roman" w:cs="Times New Roman"/>
          <w:sz w:val="28"/>
          <w:szCs w:val="28"/>
          <w:lang w:val="bg-BG"/>
        </w:rPr>
        <w:t>тративен съд по реда на чл. 58.</w:t>
      </w:r>
    </w:p>
    <w:p w:rsidR="00F142F5" w:rsidRPr="00F142F5" w:rsidRDefault="00F142F5" w:rsidP="00F142F5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lang w:val="bg-BG"/>
        </w:rPr>
        <w:t>Документи и срок за регистрация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18. Регистрирането на кандидатските листи се извършва от общинската избирател</w:t>
      </w:r>
      <w:r>
        <w:rPr>
          <w:rFonts w:ascii="Times New Roman" w:hAnsi="Times New Roman" w:cs="Times New Roman"/>
          <w:sz w:val="28"/>
          <w:szCs w:val="28"/>
          <w:lang w:val="bg-BG"/>
        </w:rPr>
        <w:t>на комисия след представяне на: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18.1. предложение от партията/коалицията/местната коалиция с имената, единния граждански номер и постоянния адрес – настоящ адрес/ адрес на пребиваване на кандидатите (Приложение № 62-МИ и Приложение № 63-МИ от изборните книжа); предложението се подписва от лицата, представляващи партията или коалицията, или от изрично упълномощени от тях лица. Предложението се представя в ОИК на хартиен и на технически носител в ексел формат. За всеки отделен вид избор – общински съветници, кмет на община/район/кметство се подава отделно предложение. За изборите за кметове на райони/кметства се подава едно общо предложение, като се вписват районите/кметствата;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18.2. предложение от инициативния комитет с имената, единния граждански номер и постоянния адрес – настоящ адрес или адрес на пребиваване на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>кандидата (Приложение № 64- МИ от изборните книжа); предложението се подписва от лицето, предс</w:t>
      </w:r>
      <w:r>
        <w:rPr>
          <w:rFonts w:ascii="Times New Roman" w:hAnsi="Times New Roman" w:cs="Times New Roman"/>
          <w:sz w:val="28"/>
          <w:szCs w:val="28"/>
          <w:lang w:val="bg-BG"/>
        </w:rPr>
        <w:t>тавляващо инициативния комитет;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18.3. заявление-декларация по образец от всеки един от кандидатите,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1,2,3 и 4 ИК (Приложен</w:t>
      </w:r>
      <w:r>
        <w:rPr>
          <w:rFonts w:ascii="Times New Roman" w:hAnsi="Times New Roman" w:cs="Times New Roman"/>
          <w:sz w:val="28"/>
          <w:szCs w:val="28"/>
          <w:lang w:val="bg-BG"/>
        </w:rPr>
        <w:t>ие № 65-МИ от изборните книжа);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18.4. кандидатът за общински съветник  -  гражданин на друга държава – членка на Европейския съюз, който не е български гражданин, представя декларация по образец (Приложение № 66-МИ от избор</w:t>
      </w:r>
      <w:r>
        <w:rPr>
          <w:rFonts w:ascii="Times New Roman" w:hAnsi="Times New Roman" w:cs="Times New Roman"/>
          <w:sz w:val="28"/>
          <w:szCs w:val="28"/>
          <w:lang w:val="bg-BG"/>
        </w:rPr>
        <w:t>ните книжа), в която декларира: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а) гражданство и адрес на пребиваван</w:t>
      </w:r>
      <w:r>
        <w:rPr>
          <w:rFonts w:ascii="Times New Roman" w:hAnsi="Times New Roman" w:cs="Times New Roman"/>
          <w:sz w:val="28"/>
          <w:szCs w:val="28"/>
          <w:lang w:val="bg-BG"/>
        </w:rPr>
        <w:t>е в съответното населено място;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б) ч</w:t>
      </w:r>
      <w:r>
        <w:rPr>
          <w:rFonts w:ascii="Times New Roman" w:hAnsi="Times New Roman" w:cs="Times New Roman"/>
          <w:sz w:val="28"/>
          <w:szCs w:val="28"/>
          <w:lang w:val="bg-BG"/>
        </w:rPr>
        <w:t>е не е поставен под запрещение;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в) данните от личната ка</w:t>
      </w:r>
      <w:r>
        <w:rPr>
          <w:rFonts w:ascii="Times New Roman" w:hAnsi="Times New Roman" w:cs="Times New Roman"/>
          <w:sz w:val="28"/>
          <w:szCs w:val="28"/>
          <w:lang w:val="bg-BG"/>
        </w:rPr>
        <w:t>рта или паспорта и личен номер;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Кандидатът представя удостоверение от компетентните органи на държавата – членка на ЕС, на която е гражданин, че не е лишен от правото да бъде избиран и че на тези органи не им е известно да съществува такова лишаване от права. В случай че кандидатът не може да представи удостоверението, декларира, че не е лишен от право да бъде избиран в държават</w:t>
      </w:r>
      <w:r>
        <w:rPr>
          <w:rFonts w:ascii="Times New Roman" w:hAnsi="Times New Roman" w:cs="Times New Roman"/>
          <w:sz w:val="28"/>
          <w:szCs w:val="28"/>
          <w:lang w:val="bg-BG"/>
        </w:rPr>
        <w:t>а членка, на която е гражданин.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18.5. пълномощно на лицата, упълномощени да представляват партията/коалицията/местната коалиция пред общинската избирателна комисия, в случаите когато документите с</w:t>
      </w:r>
      <w:r>
        <w:rPr>
          <w:rFonts w:ascii="Times New Roman" w:hAnsi="Times New Roman" w:cs="Times New Roman"/>
          <w:sz w:val="28"/>
          <w:szCs w:val="28"/>
          <w:lang w:val="bg-BG"/>
        </w:rPr>
        <w:t>е подават от упълномощени лица.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19. Общинската избирателна комисия проверява и отбелязва данните от личната карта или личния паспорт за страната на кандидата, единния граждански номер (личния номер), постоянния и настоящия адрес (адрес на пребиваване) и датата на адресната регистрация.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20. Регистрирането на кандидатските листи в общинските избирателни комисии се извършва от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 xml:space="preserve"> 9,00 часа на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9165E7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 септември до </w:t>
      </w:r>
      <w:r w:rsidR="009165E7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Pr="009165E7">
        <w:rPr>
          <w:rFonts w:ascii="Times New Roman" w:hAnsi="Times New Roman" w:cs="Times New Roman"/>
          <w:b/>
          <w:sz w:val="28"/>
          <w:szCs w:val="28"/>
          <w:lang w:val="bg-BG"/>
        </w:rPr>
        <w:t>24 септември 2019 г.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 xml:space="preserve"> включително.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>21. ОИК води отделни в</w:t>
      </w:r>
      <w:r>
        <w:rPr>
          <w:rFonts w:ascii="Times New Roman" w:hAnsi="Times New Roman" w:cs="Times New Roman"/>
          <w:sz w:val="28"/>
          <w:szCs w:val="28"/>
          <w:lang w:val="bg-BG"/>
        </w:rPr>
        <w:t>ходящи регистри на кандидатите: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- за кмет на кметство (общ за всички кметства в </w:t>
      </w:r>
      <w:r w:rsidR="00290161">
        <w:rPr>
          <w:rFonts w:ascii="Times New Roman" w:hAnsi="Times New Roman" w:cs="Times New Roman"/>
          <w:sz w:val="28"/>
          <w:szCs w:val="28"/>
          <w:lang w:val="bg-BG"/>
        </w:rPr>
        <w:t>общината) – Приложение № 69</w:t>
      </w:r>
      <w:r>
        <w:rPr>
          <w:rFonts w:ascii="Times New Roman" w:hAnsi="Times New Roman" w:cs="Times New Roman"/>
          <w:sz w:val="28"/>
          <w:szCs w:val="28"/>
          <w:lang w:val="bg-BG"/>
        </w:rPr>
        <w:t>-МИ;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22. Последователността на постъпване на документите на кандидатските листи определя поредността на вписване в регистъра на </w:t>
      </w:r>
      <w:r>
        <w:rPr>
          <w:rFonts w:ascii="Times New Roman" w:hAnsi="Times New Roman" w:cs="Times New Roman"/>
          <w:sz w:val="28"/>
          <w:szCs w:val="28"/>
          <w:lang w:val="bg-BG"/>
        </w:rPr>
        <w:t>общинската избирателна комисия.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23. Общинската избирателна комисия извършва проверка на заявения от кандидата – гражданин на друга държава – членка на Европейския съюз, адрес на пребиваване чрез Минис</w:t>
      </w:r>
      <w:r>
        <w:rPr>
          <w:rFonts w:ascii="Times New Roman" w:hAnsi="Times New Roman" w:cs="Times New Roman"/>
          <w:sz w:val="28"/>
          <w:szCs w:val="28"/>
          <w:lang w:val="bg-BG"/>
        </w:rPr>
        <w:t>терството на вътрешните работи.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24. Проверката на обстоятелствата по чл. 397 се извършва от Министерството на вътрешните работи и Министерството на правосъдието по искане на Ц</w:t>
      </w:r>
      <w:r>
        <w:rPr>
          <w:rFonts w:ascii="Times New Roman" w:hAnsi="Times New Roman" w:cs="Times New Roman"/>
          <w:sz w:val="28"/>
          <w:szCs w:val="28"/>
          <w:lang w:val="bg-BG"/>
        </w:rPr>
        <w:t>ентралната избирателна комисия.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25. Общинската избирателна комисия изпраща незабавно на Централната избирателна комисия извлечение от регистъра  за кандидати за общински съветници, които са граждани на друга държава - членка на Европейския съюз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, но не са български граждани.</w:t>
      </w:r>
    </w:p>
    <w:p w:rsidR="00F142F5" w:rsidRPr="00F142F5" w:rsidRDefault="00F142F5" w:rsidP="00F142F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lang w:val="bg-BG"/>
        </w:rPr>
        <w:t>Списък на избирателите, подкрепящи регистрацията на независим кандидат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26. Право да посочват и регистрират независим кандидат за о</w:t>
      </w:r>
      <w:r>
        <w:rPr>
          <w:rFonts w:ascii="Times New Roman" w:hAnsi="Times New Roman" w:cs="Times New Roman"/>
          <w:sz w:val="28"/>
          <w:szCs w:val="28"/>
          <w:lang w:val="bg-BG"/>
        </w:rPr>
        <w:t>бщински съветник или кмет имат:</w:t>
      </w:r>
    </w:p>
    <w:p w:rsidR="00F142F5" w:rsidRPr="00F142F5" w:rsidRDefault="00290161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26.1</w:t>
      </w:r>
      <w:r w:rsidR="00F142F5"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F142F5" w:rsidRPr="00F142F5">
        <w:rPr>
          <w:rFonts w:ascii="Times New Roman" w:hAnsi="Times New Roman" w:cs="Times New Roman"/>
          <w:b/>
          <w:sz w:val="28"/>
          <w:szCs w:val="28"/>
          <w:lang w:val="bg-BG"/>
        </w:rPr>
        <w:t>за кмет на кметство</w:t>
      </w:r>
      <w:r w:rsidR="00F142F5"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 – една пета от избирателите на кметство</w:t>
      </w:r>
      <w:r w:rsidR="00F142F5">
        <w:rPr>
          <w:rFonts w:ascii="Times New Roman" w:hAnsi="Times New Roman" w:cs="Times New Roman"/>
          <w:sz w:val="28"/>
          <w:szCs w:val="28"/>
          <w:lang w:val="bg-BG"/>
        </w:rPr>
        <w:t>то, но не повече от 500;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27. Избирател, който подкрепя участието в изборите на независим кандидат за кмет, удостоверява това с подписа си пред член на инициативния комитет. Избирателите български граждани посочват имената, постоянния си адрес в общината, съответно в кметството или района , единния си граждански номер, а гражданите на друга държава – членка на Европейския съюз, имащи статут на постоянно или продължително пребиваващи у нас – имената, личния номер, номера на личната карта или паспорта, номера на удостоверението за пребиваване и датата на регистрация, посочена в него , и адреса на пребиваване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в съответната община, кметство или район. Всеки избирател може да участва само в един списък. При полагане на подписа си в списъка избирателят удостоверява своята самоличност. </w:t>
      </w:r>
      <w:r w:rsidRPr="00F142F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Списъкът се предава и в структуриран електронен вид, като съдържа имената, единния граждански номер (личен номер) и постоянен адрес (адрес на пребиваване) на избирателите, положили саморъчен подпис, в последователността, в която са вписани в списъка (Решение на ЦИК № 638-МИ от 21.08.2019 г.  и Решение № 705-МИ от 23.08.2019 г.).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28. Членът на инициативния комитет, пред когото избирателят е положил подписа си в списъка по т. 27, обработва и предоставя личните данни при спазване изискванията за защита на личните данни и носи отговорност по смисъла на чл.4, т.7 от Регламент (ЕС) 2016</w:t>
      </w:r>
      <w:r>
        <w:rPr>
          <w:rFonts w:ascii="Times New Roman" w:hAnsi="Times New Roman" w:cs="Times New Roman"/>
          <w:sz w:val="28"/>
          <w:szCs w:val="28"/>
          <w:lang w:val="bg-BG"/>
        </w:rPr>
        <w:t>/679.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29. Списъкът се предава на общинската избирателна комисия заедно с документите по т. 18.2 – 18.5 не по-късно от 32 дни пре</w:t>
      </w:r>
      <w:r>
        <w:rPr>
          <w:rFonts w:ascii="Times New Roman" w:hAnsi="Times New Roman" w:cs="Times New Roman"/>
          <w:sz w:val="28"/>
          <w:szCs w:val="28"/>
          <w:lang w:val="bg-BG"/>
        </w:rPr>
        <w:t>ди изборния ден – 24.09.2019 г.</w:t>
      </w:r>
    </w:p>
    <w:p w:rsidR="00F142F5" w:rsidRPr="00F142F5" w:rsidRDefault="00F142F5" w:rsidP="00F142F5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b/>
          <w:sz w:val="28"/>
          <w:szCs w:val="28"/>
          <w:lang w:val="bg-BG"/>
        </w:rPr>
        <w:t>Условия за регистрация. Отказ за регистрация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30. Общинската избирателна комисия извършва проверка за изпълнението на посочените изисквания и взема решение за регист</w:t>
      </w:r>
      <w:r>
        <w:rPr>
          <w:rFonts w:ascii="Times New Roman" w:hAnsi="Times New Roman" w:cs="Times New Roman"/>
          <w:sz w:val="28"/>
          <w:szCs w:val="28"/>
          <w:lang w:val="bg-BG"/>
        </w:rPr>
        <w:t>рацията на кандидатските листи.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31. При установяване на непълноти или несъответствия общинската избирателна комисия дава незабавно указан</w:t>
      </w:r>
      <w:r>
        <w:rPr>
          <w:rFonts w:ascii="Times New Roman" w:hAnsi="Times New Roman" w:cs="Times New Roman"/>
          <w:sz w:val="28"/>
          <w:szCs w:val="28"/>
          <w:lang w:val="bg-BG"/>
        </w:rPr>
        <w:t>ия и срок за отстраняването им.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32. В случаите когато ОИК откаже регистрация, отказът може да се обжалва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пред ЦИК по реда на чл. 88 ИК.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Административнопроцесуалния кодекс пред административния съд </w:t>
      </w:r>
      <w:r>
        <w:rPr>
          <w:rFonts w:ascii="Times New Roman" w:hAnsi="Times New Roman" w:cs="Times New Roman"/>
          <w:sz w:val="28"/>
          <w:szCs w:val="28"/>
          <w:lang w:val="bg-BG"/>
        </w:rPr>
        <w:t>Силистра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>. В останалите случаи решението на ЦИК се обжалва пред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Върховния административен съд.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33. При отказ за регистрация  или при обявяване на недействителност на регистрацията на кандидат от листа на партия или коалиция партията и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коалицията може не по-късно от 30 дни преди изборния ден – </w:t>
      </w:r>
      <w:r w:rsidR="008B006C">
        <w:rPr>
          <w:rFonts w:ascii="Times New Roman" w:hAnsi="Times New Roman" w:cs="Times New Roman"/>
          <w:sz w:val="28"/>
          <w:szCs w:val="28"/>
        </w:rPr>
        <w:t xml:space="preserve">27 </w:t>
      </w:r>
      <w:r w:rsidR="008B006C">
        <w:rPr>
          <w:rFonts w:ascii="Times New Roman" w:hAnsi="Times New Roman" w:cs="Times New Roman"/>
          <w:sz w:val="28"/>
          <w:szCs w:val="28"/>
          <w:lang w:val="bg-BG"/>
        </w:rPr>
        <w:t>септември 2020 г.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>, да предложи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регистриране друг кандидат.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34. Когато някой от кандидатите в регистрирана кандидатска листа на партия или коалиция почине или изпадни в трайна невъзможност  да участва в изборите, партията или коалицията може да предложи друг кандидат не по-късно от 7 дни преди изборния ден.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30 дни пре</w:t>
      </w:r>
      <w:r w:rsidR="008B006C">
        <w:rPr>
          <w:rFonts w:ascii="Times New Roman" w:hAnsi="Times New Roman" w:cs="Times New Roman"/>
          <w:sz w:val="28"/>
          <w:szCs w:val="28"/>
          <w:lang w:val="bg-BG"/>
        </w:rPr>
        <w:t>ди изборния ден – 27.09.2020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г.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35. Новият кандидат по предложение на партията или коалицията по т. 32 и 33 заема освободеното или последното място  в кандидатската листа, като във втория случай останалите кандидати се пр</w:t>
      </w:r>
      <w:r>
        <w:rPr>
          <w:rFonts w:ascii="Times New Roman" w:hAnsi="Times New Roman" w:cs="Times New Roman"/>
          <w:sz w:val="28"/>
          <w:szCs w:val="28"/>
          <w:lang w:val="bg-BG"/>
        </w:rPr>
        <w:t>еподреждат с едно място напред.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36. За регистрацията на всяка кандидатска листа с кандидати за кметове ОИК взема отделно решение, което се вписва в регистър на кандидатите за публикуване. Регистърът се обявява на интернет страницата на съответнат</w:t>
      </w:r>
      <w:r>
        <w:rPr>
          <w:rFonts w:ascii="Times New Roman" w:hAnsi="Times New Roman" w:cs="Times New Roman"/>
          <w:sz w:val="28"/>
          <w:szCs w:val="28"/>
          <w:lang w:val="bg-BG"/>
        </w:rPr>
        <w:t>а общинска избирателна комисия.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37. Въз основа на взетото решение за регистрация ОИК издава удостоверения за регистриран кандидат</w:t>
      </w:r>
      <w:r w:rsidR="007575FC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</w:p>
    <w:p w:rsidR="00F142F5" w:rsidRPr="009165E7" w:rsidRDefault="00F142F5" w:rsidP="009165E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165E7">
        <w:rPr>
          <w:rFonts w:ascii="Times New Roman" w:hAnsi="Times New Roman" w:cs="Times New Roman"/>
          <w:b/>
          <w:sz w:val="28"/>
          <w:szCs w:val="28"/>
          <w:lang w:val="bg-BG"/>
        </w:rPr>
        <w:t>Проверка на списъците. Служебно заличаване на регистрация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 38. Списъците по т. 27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  „Гражданска регистрация и административно обслужване“ в Министерството на регионалното развитие и благоустройството. Проверката се извършва не по-късно от 27 дни преди изборния ден и за резултатите от нея се съставя протокол в два екземпляра, единия от които се предоставя на общинската избирателна комисия. Данните от проверката се съхраняват в срок до 6 месе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ца от произвеждане на изборите.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39. При поискване от инициативния комитет общинската избирателна комисия му предоставя в писмен вид данните от протокола за установения рез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ултат от представените списъци.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>40. Когато общинската избирателна комисия установи, че независим кандидат не е подкрепен от необходимия брой избиратели , регистрацията му се заличава с решение, което незабавно се изпраща на инициативния комитет. Решението на ОИК може да се оспорва пред Централната избирателна комисия по реда на чл. 88.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41. Общинската избирателна комисия осигурява възможност всеки избирател – български гражданин или гражданин на друга държава - членка на Европейския съюз, имащ статут на постоянно или продължително пребиваващ, да може да прави справка в списъка по единен граждански номер или личен номер, включителн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о на безплатен телефонен номер.</w:t>
      </w:r>
    </w:p>
    <w:p w:rsidR="00F142F5" w:rsidRPr="009165E7" w:rsidRDefault="00F142F5" w:rsidP="009165E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165E7">
        <w:rPr>
          <w:rFonts w:ascii="Times New Roman" w:hAnsi="Times New Roman" w:cs="Times New Roman"/>
          <w:b/>
          <w:sz w:val="28"/>
          <w:szCs w:val="28"/>
          <w:lang w:val="bg-BG"/>
        </w:rPr>
        <w:t>Статут на кандидатите. Неприкосновеност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42. Кандидатите имат качество на длъжностни лица по смисъла на Наказателния кодекс от регистрирането на кандидатските листи до обявяването на резултатите от изборите. В случай че регистрацията на кандидат е заличена, правата и задълженията му се прекр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атяват от деня на заличаването.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43. От деня на регистрацията до обявяване на резултатите от изборите регистрираните кандидати не може да бъдат задържани или привличани като обвиняеми, освен за извършено престъпление от общ характер и с разрешение на Централната избирателна комисия въз основа на мотивир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ано искане от главния прокурор.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44. Разрешение за задържане не се иска при заварено тежко престъпление, като в този случай незабавно се уведомява Централната избирателна комисия.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F142F5" w:rsidRPr="009165E7" w:rsidRDefault="00F142F5" w:rsidP="009165E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165E7">
        <w:rPr>
          <w:rFonts w:ascii="Times New Roman" w:hAnsi="Times New Roman" w:cs="Times New Roman"/>
          <w:b/>
          <w:sz w:val="28"/>
          <w:szCs w:val="28"/>
          <w:lang w:val="bg-BG"/>
        </w:rPr>
        <w:t>Отпуск на кандидатите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 xml:space="preserve">45. Кандидат за кмет на община и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>кметство, който е държавен или местен орган, или заема служба в администрацията на държавен или местен орган, задължително ползва по свой избор неплатен служебен отпуск или платен годишен отпуск от деня, следващ деня на решението за регистрация, до обявяв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ане на резултатите от изборите.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lastRenderedPageBreak/>
        <w:t>46. За времето в коет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 xml:space="preserve">о кандидатът за кмет на община и </w:t>
      </w:r>
      <w:r w:rsidRPr="00F142F5">
        <w:rPr>
          <w:rFonts w:ascii="Times New Roman" w:hAnsi="Times New Roman" w:cs="Times New Roman"/>
          <w:sz w:val="28"/>
          <w:szCs w:val="28"/>
          <w:lang w:val="bg-BG"/>
        </w:rPr>
        <w:t>кметство е в отпуск по т. 45, за временно изпълняващ длъжността кмет определя един от заместник-кметовете. Когато няма назначен заместник-кмет, временно изпълняващ длъжността кмет на общината и района се избира от общинския съвет. При условията и реда на чл. 42, ал. 8 на ЗМСМА.</w:t>
      </w:r>
      <w:bookmarkStart w:id="0" w:name="_GoBack"/>
      <w:bookmarkEnd w:id="0"/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47. В случаите когато общинският съвет не е приел решение в определения срок, временно изпълняващ длъжността кмет на община/ /район/ кметство, се на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значава от областния управител.</w:t>
      </w:r>
    </w:p>
    <w:p w:rsidR="00F142F5" w:rsidRPr="00F142F5" w:rsidRDefault="00F633B2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48</w:t>
      </w:r>
      <w:r w:rsidR="00F142F5" w:rsidRPr="00F142F5">
        <w:rPr>
          <w:rFonts w:ascii="Times New Roman" w:hAnsi="Times New Roman" w:cs="Times New Roman"/>
          <w:sz w:val="28"/>
          <w:szCs w:val="28"/>
          <w:lang w:val="bg-BG"/>
        </w:rPr>
        <w:t>. Точка 45 не се прилага за министър-председателя, заместник министър-председателите, министрите, народните представители, президента и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 xml:space="preserve"> вицепрезидента на Републиката.</w:t>
      </w:r>
    </w:p>
    <w:p w:rsidR="00F142F5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50. Отпускът се зачита за трудов ил</w:t>
      </w:r>
      <w:r w:rsidR="009165E7">
        <w:rPr>
          <w:rFonts w:ascii="Times New Roman" w:hAnsi="Times New Roman" w:cs="Times New Roman"/>
          <w:sz w:val="28"/>
          <w:szCs w:val="28"/>
          <w:lang w:val="bg-BG"/>
        </w:rPr>
        <w:t>и служебен и осигурителен стаж.</w:t>
      </w:r>
    </w:p>
    <w:p w:rsidR="00A72AE4" w:rsidRPr="00F142F5" w:rsidRDefault="00F142F5" w:rsidP="00F142F5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142F5">
        <w:rPr>
          <w:rFonts w:ascii="Times New Roman" w:hAnsi="Times New Roman" w:cs="Times New Roman"/>
          <w:sz w:val="28"/>
          <w:szCs w:val="28"/>
          <w:lang w:val="bg-BG"/>
        </w:rPr>
        <w:t>51. В случай че регистрацията на кандидат бъде заличена, отпускът се прекъсва от деня на заличаването. Когато заличаването е отменено, се смята, че отпускът не е прекъсван.</w:t>
      </w:r>
    </w:p>
    <w:sectPr w:rsidR="00A72AE4" w:rsidRPr="00F142F5" w:rsidSect="00816A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44" w:rsidRDefault="003A4744" w:rsidP="00F142F5">
      <w:pPr>
        <w:spacing w:after="0" w:line="240" w:lineRule="auto"/>
      </w:pPr>
      <w:r>
        <w:separator/>
      </w:r>
    </w:p>
  </w:endnote>
  <w:endnote w:type="continuationSeparator" w:id="0">
    <w:p w:rsidR="003A4744" w:rsidRDefault="003A4744" w:rsidP="00F1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44" w:rsidRDefault="003A4744" w:rsidP="00F142F5">
      <w:pPr>
        <w:spacing w:after="0" w:line="240" w:lineRule="auto"/>
      </w:pPr>
      <w:r>
        <w:separator/>
      </w:r>
    </w:p>
  </w:footnote>
  <w:footnote w:type="continuationSeparator" w:id="0">
    <w:p w:rsidR="003A4744" w:rsidRDefault="003A4744" w:rsidP="00F1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2E"/>
    <w:multiLevelType w:val="hybridMultilevel"/>
    <w:tmpl w:val="2972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552E"/>
    <w:multiLevelType w:val="hybridMultilevel"/>
    <w:tmpl w:val="0AE4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23856"/>
    <w:multiLevelType w:val="hybridMultilevel"/>
    <w:tmpl w:val="DF3A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72A32"/>
    <w:multiLevelType w:val="hybridMultilevel"/>
    <w:tmpl w:val="BF70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860D5"/>
    <w:multiLevelType w:val="hybridMultilevel"/>
    <w:tmpl w:val="5262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B20F0"/>
    <w:multiLevelType w:val="hybridMultilevel"/>
    <w:tmpl w:val="AAD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01770"/>
    <w:multiLevelType w:val="hybridMultilevel"/>
    <w:tmpl w:val="BB56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76B2B"/>
    <w:multiLevelType w:val="hybridMultilevel"/>
    <w:tmpl w:val="20F8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08"/>
    <w:rsid w:val="000E39AD"/>
    <w:rsid w:val="00136F66"/>
    <w:rsid w:val="001D6F3F"/>
    <w:rsid w:val="002203CF"/>
    <w:rsid w:val="00236AC5"/>
    <w:rsid w:val="00290161"/>
    <w:rsid w:val="00342914"/>
    <w:rsid w:val="003A4744"/>
    <w:rsid w:val="004A3B15"/>
    <w:rsid w:val="004E0503"/>
    <w:rsid w:val="005711AF"/>
    <w:rsid w:val="007575FC"/>
    <w:rsid w:val="00760A88"/>
    <w:rsid w:val="00816A1D"/>
    <w:rsid w:val="00851712"/>
    <w:rsid w:val="008B006C"/>
    <w:rsid w:val="009165E7"/>
    <w:rsid w:val="00993F8E"/>
    <w:rsid w:val="00A72AE4"/>
    <w:rsid w:val="00AC03F8"/>
    <w:rsid w:val="00AC2486"/>
    <w:rsid w:val="00AE3C73"/>
    <w:rsid w:val="00B01AAE"/>
    <w:rsid w:val="00D801A6"/>
    <w:rsid w:val="00DB2CAE"/>
    <w:rsid w:val="00DE729B"/>
    <w:rsid w:val="00E21008"/>
    <w:rsid w:val="00E723FA"/>
    <w:rsid w:val="00ED4089"/>
    <w:rsid w:val="00EF064C"/>
    <w:rsid w:val="00F142F5"/>
    <w:rsid w:val="00F6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5FA0"/>
  <w15:docId w15:val="{CB25A257-6F2C-4A87-AAE6-05803BF1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42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142F5"/>
  </w:style>
  <w:style w:type="paragraph" w:styleId="a6">
    <w:name w:val="footer"/>
    <w:basedOn w:val="a"/>
    <w:link w:val="a7"/>
    <w:uiPriority w:val="99"/>
    <w:unhideWhenUsed/>
    <w:rsid w:val="00F142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1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Tu7</cp:lastModifiedBy>
  <cp:revision>7</cp:revision>
  <cp:lastPrinted>2019-09-04T14:06:00Z</cp:lastPrinted>
  <dcterms:created xsi:type="dcterms:W3CDTF">2020-08-14T09:03:00Z</dcterms:created>
  <dcterms:modified xsi:type="dcterms:W3CDTF">2020-08-14T14:54:00Z</dcterms:modified>
</cp:coreProperties>
</file>